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E1" w:rsidRDefault="00E6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 к показателям проекта</w:t>
      </w:r>
    </w:p>
    <w:p w:rsidR="009206E1" w:rsidRDefault="00E6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местного бюджета на 202</w:t>
      </w:r>
      <w:r w:rsidR="00271ED4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  </w:t>
      </w:r>
    </w:p>
    <w:p w:rsidR="009206E1" w:rsidRDefault="0092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206E1" w:rsidRDefault="0092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206E1" w:rsidRDefault="0092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Проект решения «О бюджете муниципального образования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год» подготовлен в соответствии с требованиями федерального и краевого бюджетного законодательства. Формирование местного бюджета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осуществлялось в соответствии с требованиями налогового законодательства, учитывались принятые федеральные и региональные законы, предусматривающие внесение изменений и дополнений в действующее законодательство, начиная с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года, а также на основании проекта закона Алтайского края «О краевом бюджете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год». Проекта  Решения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«О районном бюджете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год»</w:t>
      </w:r>
    </w:p>
    <w:p w:rsidR="009206E1" w:rsidRDefault="00E6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Предлагаемые в настоящем проекте решения основные параметры местного бюджета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определены в соответствии с прогнозом социально-экономического развития муниципального образования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9206E1" w:rsidRDefault="00E6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</w:rPr>
      </w:pPr>
    </w:p>
    <w:p w:rsidR="009206E1" w:rsidRDefault="00E67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Доходы МЕСТНОГО бюджета на 202</w:t>
      </w:r>
      <w:r w:rsidR="00271ED4">
        <w:rPr>
          <w:rFonts w:ascii="Times New Roman" w:eastAsia="Times New Roman" w:hAnsi="Times New Roman" w:cs="Times New Roman"/>
          <w:b/>
          <w:caps/>
          <w:sz w:val="28"/>
        </w:rPr>
        <w:t>5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год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доходной базы местного бюджета  осуществлялось на основе  основных направлений налоговой и бюджетной политики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оценки поступлений доходов в местный бюджет 202</w:t>
      </w:r>
      <w:r w:rsidR="00271ED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года. При расчете доходов местного бюджета учитывалось налоговое законодательство, действующее на момент составления проекта бюджета, а также внесенные изменения и дополнения в законодательство Российской Федерации и Алтайского края о налогах и сборах, вступающие в действие с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объем доходов местного бюджета запланирован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1</w:t>
      </w:r>
      <w:r w:rsidR="00271ED4">
        <w:rPr>
          <w:rFonts w:ascii="Times New Roman" w:eastAsia="Times New Roman" w:hAnsi="Times New Roman" w:cs="Times New Roman"/>
          <w:sz w:val="28"/>
        </w:rPr>
        <w:t>653</w:t>
      </w:r>
      <w:r>
        <w:rPr>
          <w:rFonts w:ascii="Times New Roman" w:eastAsia="Times New Roman" w:hAnsi="Times New Roman" w:cs="Times New Roman"/>
          <w:sz w:val="28"/>
        </w:rPr>
        <w:t>,</w:t>
      </w:r>
      <w:r w:rsidR="00271ED4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Параметры собственных доходов местного бюджета приведены в приложении 1 к пояснительной записке и прогнозируются на 202</w:t>
      </w:r>
      <w:r w:rsidR="00271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размере </w:t>
      </w:r>
      <w:r w:rsidR="00271ED4">
        <w:rPr>
          <w:rFonts w:ascii="Times New Roman" w:eastAsia="Times New Roman" w:hAnsi="Times New Roman" w:cs="Times New Roman"/>
          <w:sz w:val="28"/>
        </w:rPr>
        <w:t>1129,8</w:t>
      </w:r>
      <w:r>
        <w:rPr>
          <w:rFonts w:ascii="Times New Roman" w:eastAsia="Times New Roman" w:hAnsi="Times New Roman" w:cs="Times New Roman"/>
          <w:sz w:val="28"/>
        </w:rPr>
        <w:t xml:space="preserve"> тыс. рублей, что на </w:t>
      </w:r>
      <w:r w:rsidR="007B2CBC">
        <w:rPr>
          <w:rFonts w:ascii="Times New Roman" w:eastAsia="Times New Roman" w:hAnsi="Times New Roman" w:cs="Times New Roman"/>
          <w:sz w:val="28"/>
        </w:rPr>
        <w:t>138,2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 меньше ожидаемого поступления в 202</w:t>
      </w:r>
      <w:r w:rsidR="007B2CB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года, это связано с уменьшением собираемости ЕСН.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источниками собственных доходов местного бюджета являются: земельный налог и ЕСХН,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приходится  8</w:t>
      </w:r>
      <w:r w:rsidR="007B2CBC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,</w:t>
      </w:r>
      <w:r w:rsidR="007B2CB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% от всех доходов.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доходных источников местного бюджета в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году приведена в приложении 2. Доля собственных доходов в общем объеме доходов – 6</w:t>
      </w:r>
      <w:r w:rsidR="007B2CBC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,</w:t>
      </w:r>
      <w:r w:rsidR="007B2CB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% (в 202</w:t>
      </w:r>
      <w:r w:rsidR="007B2CB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г. – </w:t>
      </w:r>
      <w:r w:rsidR="007B2CBC">
        <w:rPr>
          <w:rFonts w:ascii="Times New Roman" w:eastAsia="Times New Roman" w:hAnsi="Times New Roman" w:cs="Times New Roman"/>
          <w:sz w:val="28"/>
        </w:rPr>
        <w:t>63,1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Налог на доходы физических лиц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 поступления налога на доходы физических лиц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произведен в соответствии с положениями главы 23 части второй Налогового кодекса РФ с учетом изменений, вступающих в действие  с 1 января 2019 года. 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в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году. В прогнозе поступления налога на доходы физических лиц учтено:</w:t>
      </w:r>
    </w:p>
    <w:p w:rsidR="009206E1" w:rsidRDefault="00E670A6">
      <w:pPr>
        <w:keepNext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уточнение условий предоставления и применения имущественных налоговых вычетов;</w:t>
      </w:r>
    </w:p>
    <w:p w:rsidR="009206E1" w:rsidRDefault="00E670A6">
      <w:pPr>
        <w:keepNext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уточнение отдельных правил предоставления в налоговые органы налоговые отчетности на доходы физических лиц, так обеспечивается возможность организаций предоставлять отчетность по месту одного из ее обособленных подразделений в случаях наличия нескольких обособленных подразделений организации на территории одного муниципального образования.</w:t>
      </w:r>
    </w:p>
    <w:p w:rsidR="009206E1" w:rsidRDefault="00E670A6">
      <w:pPr>
        <w:keepNext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сумма налога на доходы физических лиц при  нормативе отчислений             в местный бюджет 2 процентов прогнозируется в размере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="007B2CBC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9206E1" w:rsidRDefault="009206E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Единый сельскохозяйственный налог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Единый сельскохозяйственный налог  рассчитан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150 </w:t>
      </w:r>
      <w:r>
        <w:rPr>
          <w:rFonts w:ascii="Times New Roman" w:eastAsia="Times New Roman" w:hAnsi="Times New Roman" w:cs="Times New Roman"/>
          <w:sz w:val="28"/>
        </w:rPr>
        <w:t>тыс. рублей исходя из количества зарегистрированных налогоплательщиков, предполагаемого дохода и действующих налоговых ставок, с учетом коэффициента собираемости. Норматив отчислений установлен 30 %.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Неналоговые доходы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объеме доходов местного бюджета предусмотрены неналоговые доходы. Доля неналоговых доходов в объеме собственных доходов составляет </w:t>
      </w:r>
      <w:r w:rsidR="007B2CBC">
        <w:rPr>
          <w:rFonts w:ascii="Times New Roman" w:eastAsia="Times New Roman" w:hAnsi="Times New Roman" w:cs="Times New Roman"/>
          <w:b/>
          <w:sz w:val="28"/>
        </w:rPr>
        <w:t>5,9</w:t>
      </w:r>
      <w:r>
        <w:rPr>
          <w:rFonts w:ascii="Times New Roman" w:eastAsia="Times New Roman" w:hAnsi="Times New Roman" w:cs="Times New Roman"/>
          <w:b/>
          <w:sz w:val="28"/>
        </w:rPr>
        <w:t xml:space="preserve"> %</w:t>
      </w:r>
      <w:r>
        <w:rPr>
          <w:rFonts w:ascii="Times New Roman" w:eastAsia="Times New Roman" w:hAnsi="Times New Roman" w:cs="Times New Roman"/>
          <w:sz w:val="28"/>
        </w:rPr>
        <w:t xml:space="preserve">. Общий объем неналоговых доходов прогнозируется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67,1 </w:t>
      </w:r>
      <w:r>
        <w:rPr>
          <w:rFonts w:ascii="Times New Roman" w:eastAsia="Times New Roman" w:hAnsi="Times New Roman" w:cs="Times New Roman"/>
          <w:sz w:val="28"/>
        </w:rPr>
        <w:t xml:space="preserve">тыс. рублей, в том числе от аренды за земельные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участки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находящиеся в собственности поселения – 67,1 тыс. рублей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Поступления из районного бюджета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Поступления средств из районного бюджета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приведены в приложении 3 к настоящей пояснительной записке и планируются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="007B2CBC">
        <w:rPr>
          <w:rFonts w:ascii="Times New Roman" w:eastAsia="Times New Roman" w:hAnsi="Times New Roman" w:cs="Times New Roman"/>
          <w:b/>
          <w:sz w:val="28"/>
        </w:rPr>
        <w:t>23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 w:rsidR="007B2CBC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ИМТ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планируется в сумме -</w:t>
      </w:r>
      <w:r w:rsidR="007B2CB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00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Субвенции для осуществления отдельных государственных полномочий определены в сумме </w:t>
      </w:r>
      <w:r w:rsidR="007B2CBC">
        <w:rPr>
          <w:rFonts w:ascii="Times New Roman" w:eastAsia="Times New Roman" w:hAnsi="Times New Roman" w:cs="Times New Roman"/>
          <w:sz w:val="28"/>
        </w:rPr>
        <w:t>83,6</w:t>
      </w:r>
      <w:r>
        <w:rPr>
          <w:rFonts w:ascii="Times New Roman" w:eastAsia="Times New Roman" w:hAnsi="Times New Roman" w:cs="Times New Roman"/>
          <w:sz w:val="28"/>
        </w:rPr>
        <w:t xml:space="preserve"> тыс. рублей. 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в сумме </w:t>
      </w:r>
      <w:r w:rsidR="007B2CBC">
        <w:rPr>
          <w:rFonts w:ascii="Times New Roman" w:eastAsia="Times New Roman" w:hAnsi="Times New Roman" w:cs="Times New Roman"/>
          <w:sz w:val="28"/>
        </w:rPr>
        <w:t>102</w:t>
      </w:r>
      <w:r>
        <w:rPr>
          <w:rFonts w:ascii="Times New Roman" w:eastAsia="Times New Roman" w:hAnsi="Times New Roman" w:cs="Times New Roman"/>
          <w:sz w:val="28"/>
        </w:rPr>
        <w:t>,9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уб. В том числе дорожный фонд - </w:t>
      </w:r>
      <w:r w:rsidR="007B2CBC">
        <w:rPr>
          <w:rFonts w:ascii="Times New Roman" w:eastAsia="Times New Roman" w:hAnsi="Times New Roman" w:cs="Times New Roman"/>
          <w:sz w:val="28"/>
        </w:rPr>
        <w:t>89</w:t>
      </w:r>
      <w:r>
        <w:rPr>
          <w:rFonts w:ascii="Times New Roman" w:eastAsia="Times New Roman" w:hAnsi="Times New Roman" w:cs="Times New Roman"/>
          <w:sz w:val="28"/>
        </w:rPr>
        <w:t xml:space="preserve"> тыс.руб.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Дотация на выравнивание в сумме 3</w:t>
      </w:r>
      <w:r w:rsidR="007B2CBC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,</w:t>
      </w:r>
      <w:r w:rsidR="007B2CBC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тыс. рублей. </w:t>
      </w: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Дефицит местного бюджета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Дефицит местного бюджета определен в размере </w:t>
      </w:r>
      <w:r>
        <w:rPr>
          <w:rFonts w:ascii="Times New Roman" w:eastAsia="Times New Roman" w:hAnsi="Times New Roman" w:cs="Times New Roman"/>
          <w:b/>
          <w:sz w:val="28"/>
        </w:rPr>
        <w:t xml:space="preserve">0 </w:t>
      </w:r>
      <w:r>
        <w:rPr>
          <w:rFonts w:ascii="Times New Roman" w:eastAsia="Times New Roman" w:hAnsi="Times New Roman" w:cs="Times New Roman"/>
          <w:sz w:val="28"/>
        </w:rPr>
        <w:t>тыс. рублей,       что составляет 0 % от собственных доходов местного бюджета и не превышает  уровня, установленного Бюджетным кодексом Российской Федерации.</w:t>
      </w: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 финансирования дефицита бюджета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целях финансирования дефицита местного бюджета не планируются внутренние заимствования по соглашениям и договорам с комитетом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по финансам, налоговой и кредитной политике в сумме. Основным источником дефицита бюджета является изменение остатков на конец года.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9206E1" w:rsidRDefault="00E670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Расходы  МЕСТНОГО бюджета</w:t>
      </w:r>
    </w:p>
    <w:p w:rsidR="009206E1" w:rsidRDefault="009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Параметры расходов местного бюджета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рассчитаны на основе действующего законодательства Российской Федерации и Алтайского края. 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числу приоритетных задач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отнесены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финансовое обеспечение перечня делегированных  государственных полномочий;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сохранение материально-технической базы муниципальных учреждений;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эффективное  расходование бюджетных средств.</w:t>
      </w: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Объем расходов местного бюджета на 2024 год определен в сумме </w:t>
      </w:r>
      <w:r w:rsidR="007B2CBC">
        <w:rPr>
          <w:rFonts w:ascii="Times New Roman" w:eastAsia="Times New Roman" w:hAnsi="Times New Roman" w:cs="Times New Roman"/>
          <w:b/>
          <w:sz w:val="28"/>
        </w:rPr>
        <w:t>1653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 w:rsidR="007B2CBC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0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для всех получателей средств местного бюджета подходы к формированию бюджета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определились следующим образом.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Учтены нормативы формирования расходов на содержание органов местного самоуправления. 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Объемы бюджетных ассигнований на оплату труда работников муниципальных учреждений и на выплату денежного содержания муниципальных служащих рассчитаны на основании действующих утвержденных штатных расписаний в размере 100 % . Повышения уровня оплаты труда в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 планируется на 5%.</w:t>
      </w: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расчете страховых взносов на обязательное социальное страхование учтено сохранение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тарифов страховых взносов на обязательное социальное страхование в размере 30 % от фонда оплаты труда, тарифов страховых взносов на обязательное страхование от несчастных случаев на производстве и профессиональных заболеваний в размере 0,2 % от фонда оплаты труда.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всем получателям  средств районного бюджета расходы бюджетных учреждений на оплату услуг и материальных затрат рассчитаны исходя из фактических расходов 202</w:t>
      </w:r>
      <w:r w:rsidR="007B2CB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 с учетом индекса потребительских цен и предельных уровней цен (тарифов) на продукцию (услуги) естественных монополий на 202</w:t>
      </w:r>
      <w:r w:rsidR="007B2CB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год. </w:t>
      </w:r>
    </w:p>
    <w:p w:rsidR="009206E1" w:rsidRDefault="009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расходов местного бюджета в разрезе разделов классификации расходов бюджетов остается достаточно стабильной: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</w:t>
      </w:r>
    </w:p>
    <w:p w:rsidR="009206E1" w:rsidRDefault="00E670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01 «Общегосударственные вопросы»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          в соответствии с выполняемыми органами исполнительной власти функциями. Определение объема расходов на государственное управление осуществлялось в соответствии со структурой органов исполнительной и законодательной власти. 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По подразделу 02 «Функционирование высшего должностного лица муниципального образования» </w:t>
      </w:r>
      <w:r>
        <w:rPr>
          <w:rFonts w:ascii="Times New Roman" w:eastAsia="Times New Roman" w:hAnsi="Times New Roman" w:cs="Times New Roman"/>
          <w:sz w:val="28"/>
        </w:rPr>
        <w:t xml:space="preserve">предусмотрены расходы на содержание главы сельсовета в сумме </w:t>
      </w:r>
      <w:r w:rsidR="007B2CBC">
        <w:rPr>
          <w:rFonts w:ascii="Times New Roman" w:eastAsia="Times New Roman" w:hAnsi="Times New Roman" w:cs="Times New Roman"/>
          <w:b/>
          <w:sz w:val="28"/>
        </w:rPr>
        <w:t>541,7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 подразделу 04 «Функционирований местных администраций» </w:t>
      </w:r>
      <w:r>
        <w:rPr>
          <w:rFonts w:ascii="Times New Roman" w:eastAsia="Times New Roman" w:hAnsi="Times New Roman" w:cs="Times New Roman"/>
          <w:sz w:val="28"/>
        </w:rPr>
        <w:t xml:space="preserve">предусматриваются расходы на содержание аппарата администрации района в сумме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="007B2CBC">
        <w:rPr>
          <w:rFonts w:ascii="Times New Roman" w:eastAsia="Times New Roman" w:hAnsi="Times New Roman" w:cs="Times New Roman"/>
          <w:b/>
          <w:sz w:val="28"/>
        </w:rPr>
        <w:t>83,3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подразделу 11 «Резервный фонд»</w:t>
      </w:r>
      <w:r>
        <w:rPr>
          <w:rFonts w:ascii="Times New Roman" w:eastAsia="Times New Roman" w:hAnsi="Times New Roman" w:cs="Times New Roman"/>
          <w:sz w:val="28"/>
        </w:rPr>
        <w:t xml:space="preserve"> учтены непредвиденные расходы, в том числе на предупреждение и ликвидацию последствий стихийных бедствий и чрезвычайных ситуаций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0.5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Расходование средств резервного фонда производится по постановлениям и распоряжениям главы сельсовета.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 подразделу 13 «Другие общегосударственные расходы» </w:t>
      </w:r>
      <w:r>
        <w:rPr>
          <w:rFonts w:ascii="Times New Roman" w:eastAsia="Times New Roman" w:hAnsi="Times New Roman" w:cs="Times New Roman"/>
          <w:sz w:val="28"/>
        </w:rPr>
        <w:t>отражены расходы на  межбюджетные трансферты общего характера -5 тысяч рублей</w:t>
      </w: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целом расходы по данному разделу составили </w:t>
      </w:r>
      <w:r w:rsidR="007B2CBC">
        <w:rPr>
          <w:rFonts w:ascii="Times New Roman" w:eastAsia="Times New Roman" w:hAnsi="Times New Roman" w:cs="Times New Roman"/>
          <w:b/>
          <w:sz w:val="28"/>
        </w:rPr>
        <w:t>633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 w:rsidR="007B2CBC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тыс. рублей. 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02 « Национальная оборона»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средства на осуществление полномочий по первичному воинскому учету на территориях, где отсутствуют военные комиссариаты в сумме </w:t>
      </w:r>
      <w:r w:rsidR="007B2CBC">
        <w:rPr>
          <w:rFonts w:ascii="Times New Roman" w:eastAsia="Times New Roman" w:hAnsi="Times New Roman" w:cs="Times New Roman"/>
          <w:b/>
          <w:sz w:val="28"/>
        </w:rPr>
        <w:t>83,6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тыс. рублей. 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Раздел 03 «Национальная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безопастность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 правоохранительная деятельность»</w:t>
      </w:r>
    </w:p>
    <w:p w:rsidR="009206E1" w:rsidRDefault="0092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средства на защиту населения и территории от чрезвычайных ситуаций природного и техногенного характера, пожарная безопасность в сумме </w:t>
      </w:r>
      <w:r>
        <w:rPr>
          <w:rFonts w:ascii="Times New Roman" w:eastAsia="Times New Roman" w:hAnsi="Times New Roman" w:cs="Times New Roman"/>
          <w:b/>
          <w:sz w:val="28"/>
        </w:rPr>
        <w:t xml:space="preserve">3,6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</w:p>
    <w:p w:rsidR="009206E1" w:rsidRDefault="0092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04 «Дорожное хозяйство и транспорт»</w:t>
      </w:r>
    </w:p>
    <w:p w:rsidR="009206E1" w:rsidRDefault="0092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средства на содержание, ремонт, реконструкцию и строительство автомобильных дорог в сумме </w:t>
      </w:r>
      <w:r w:rsidR="007B2CBC">
        <w:rPr>
          <w:rFonts w:ascii="Times New Roman" w:eastAsia="Times New Roman" w:hAnsi="Times New Roman" w:cs="Times New Roman"/>
          <w:b/>
          <w:sz w:val="28"/>
        </w:rPr>
        <w:t>89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</w:p>
    <w:p w:rsidR="009206E1" w:rsidRDefault="00920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Раздел 05 «Жилищно-коммунальное хозяйство»</w:t>
      </w:r>
    </w:p>
    <w:p w:rsidR="009206E1" w:rsidRDefault="009206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мероприятия на благоустройства кладбищ, прочие расходы по благоустройству  в сумме </w:t>
      </w:r>
      <w:r>
        <w:rPr>
          <w:rFonts w:ascii="Times New Roman" w:eastAsia="Times New Roman" w:hAnsi="Times New Roman" w:cs="Times New Roman"/>
          <w:b/>
          <w:sz w:val="28"/>
        </w:rPr>
        <w:t>9,1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08 «Культура и средства массовой информации»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 подразделу 08 «Культура»</w:t>
      </w:r>
      <w:r>
        <w:rPr>
          <w:rFonts w:ascii="Times New Roman" w:eastAsia="Times New Roman" w:hAnsi="Times New Roman" w:cs="Times New Roman"/>
          <w:sz w:val="28"/>
        </w:rPr>
        <w:t xml:space="preserve"> в расходах на 2024 год предусмотрены расходы  в размере </w:t>
      </w:r>
      <w:r>
        <w:rPr>
          <w:rFonts w:ascii="Times New Roman" w:eastAsia="Times New Roman" w:hAnsi="Times New Roman" w:cs="Times New Roman"/>
          <w:b/>
          <w:sz w:val="28"/>
        </w:rPr>
        <w:t>6,</w:t>
      </w:r>
      <w:r w:rsidR="007B2CBC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рублей, в том числе - 5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 - межбюджетные трансферты, 1,</w:t>
      </w:r>
      <w:r w:rsidR="007B2CB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тыс.руб. по переданным полномочиям.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Раздел 10 «Социальная политика»</w:t>
      </w:r>
    </w:p>
    <w:p w:rsidR="009206E1" w:rsidRDefault="009206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206E1" w:rsidRDefault="00E6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данному разделу предусматриваются расходы на доплату к пенсии муниципальным служащим в сумме </w:t>
      </w:r>
      <w:r>
        <w:rPr>
          <w:rFonts w:ascii="Times New Roman" w:eastAsia="Times New Roman" w:hAnsi="Times New Roman" w:cs="Times New Roman"/>
          <w:b/>
          <w:sz w:val="28"/>
        </w:rPr>
        <w:t>2,</w:t>
      </w:r>
      <w:r w:rsidR="007B2CBC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</w:t>
      </w:r>
    </w:p>
    <w:p w:rsidR="009206E1" w:rsidRDefault="00920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13 «Обслуживание государственного и муниципального долга»</w:t>
      </w:r>
    </w:p>
    <w:p w:rsidR="009206E1" w:rsidRDefault="00E67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206E1" w:rsidRDefault="00E670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данному разделу предусматриваются расходы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Обслуживание государственного (муниципального) долга в сумме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0,</w:t>
      </w:r>
      <w:r w:rsidR="007B2CBC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 Процентные платежи по муниципальному долгу.</w:t>
      </w:r>
    </w:p>
    <w:p w:rsidR="009206E1" w:rsidRDefault="00920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06E1" w:rsidRDefault="00920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206E1" w:rsidRDefault="00E6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Глава </w:t>
      </w:r>
    </w:p>
    <w:p w:rsidR="009206E1" w:rsidRDefault="00E670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Краснодарского сельсовета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В.Н. Кольцов</w:t>
      </w:r>
    </w:p>
    <w:sectPr w:rsidR="009206E1" w:rsidSect="0087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2AB5"/>
    <w:multiLevelType w:val="multilevel"/>
    <w:tmpl w:val="C2F4B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6E1"/>
    <w:rsid w:val="00271ED4"/>
    <w:rsid w:val="007B2CBC"/>
    <w:rsid w:val="0087075E"/>
    <w:rsid w:val="009206E1"/>
    <w:rsid w:val="00A95369"/>
    <w:rsid w:val="00E6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Пользователь Windows</cp:lastModifiedBy>
  <cp:revision>3</cp:revision>
  <dcterms:created xsi:type="dcterms:W3CDTF">2024-11-11T07:13:00Z</dcterms:created>
  <dcterms:modified xsi:type="dcterms:W3CDTF">2024-11-12T04:28:00Z</dcterms:modified>
</cp:coreProperties>
</file>